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3130" w14:textId="77777777" w:rsidR="00AA15A7" w:rsidRDefault="00AA15A7" w:rsidP="00AA15A7">
      <w:pPr>
        <w:spacing w:after="0"/>
        <w:jc w:val="center"/>
        <w:rPr>
          <w:b/>
        </w:rPr>
      </w:pPr>
      <w:r w:rsidRPr="000D758C">
        <w:rPr>
          <w:b/>
        </w:rPr>
        <w:t xml:space="preserve">INTERNAL CONTROLS OVER </w:t>
      </w:r>
      <w:r w:rsidR="007F5474">
        <w:rPr>
          <w:b/>
        </w:rPr>
        <w:t>CONTRACTS REQUIRING ELECTRONIC PAYMENTS</w:t>
      </w:r>
    </w:p>
    <w:p w14:paraId="30ECDD4C" w14:textId="77777777" w:rsidR="00AA15A7" w:rsidRDefault="00AA15A7" w:rsidP="00AA15A7">
      <w:pPr>
        <w:jc w:val="center"/>
      </w:pPr>
      <w:r>
        <w:rPr>
          <w:b/>
        </w:rPr>
        <w:t>AUDIT PROGRAM</w:t>
      </w:r>
    </w:p>
    <w:p w14:paraId="09F284CE" w14:textId="77777777" w:rsidR="00AA15A7" w:rsidRDefault="00AA15A7" w:rsidP="00AA15A7">
      <w:pPr>
        <w:spacing w:before="240"/>
      </w:pPr>
      <w:r>
        <w:t xml:space="preserve">Complete the audit program below to support the </w:t>
      </w:r>
      <w:r w:rsidR="00DE1772">
        <w:t>agency</w:t>
      </w:r>
      <w:r>
        <w:t xml:space="preserve">’s assessment of internal controls in this area.  </w:t>
      </w:r>
      <w:r w:rsidRPr="00602616">
        <w:t>Please describe the controls in place, the testing done to determine whether the controls are working as intended and the results of this testing.  Also</w:t>
      </w:r>
      <w:r>
        <w:t xml:space="preserve">, if the </w:t>
      </w:r>
      <w:r w:rsidR="00DE1772">
        <w:t>agency</w:t>
      </w:r>
      <w:r>
        <w:t xml:space="preserve"> identifies a lack of controls or any weaknesses in established controls, include a plan for corrective action or identify any compensating controls.    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220"/>
        <w:gridCol w:w="3960"/>
      </w:tblGrid>
      <w:tr w:rsidR="00AA15A7" w:rsidRPr="009A4205" w14:paraId="1179D578" w14:textId="77777777" w:rsidTr="00075FCD">
        <w:tc>
          <w:tcPr>
            <w:tcW w:w="4518" w:type="dxa"/>
            <w:vAlign w:val="center"/>
          </w:tcPr>
          <w:p w14:paraId="37DD7E4C" w14:textId="77777777" w:rsidR="00AA15A7" w:rsidRPr="009A4205" w:rsidRDefault="00AA15A7" w:rsidP="00075FCD">
            <w:pPr>
              <w:spacing w:after="0" w:line="240" w:lineRule="auto"/>
              <w:jc w:val="center"/>
              <w:rPr>
                <w:b/>
              </w:rPr>
            </w:pPr>
            <w:r w:rsidRPr="009A4205">
              <w:rPr>
                <w:b/>
              </w:rPr>
              <w:t>Control Objective and Activities</w:t>
            </w:r>
          </w:p>
        </w:tc>
        <w:tc>
          <w:tcPr>
            <w:tcW w:w="5220" w:type="dxa"/>
            <w:vAlign w:val="center"/>
          </w:tcPr>
          <w:p w14:paraId="4742EA92" w14:textId="77777777" w:rsidR="00AA15A7" w:rsidRPr="009A4205" w:rsidRDefault="00AA15A7" w:rsidP="00075FCD">
            <w:pPr>
              <w:spacing w:after="0" w:line="240" w:lineRule="auto"/>
              <w:jc w:val="center"/>
            </w:pPr>
            <w:r w:rsidRPr="009A4205">
              <w:rPr>
                <w:b/>
              </w:rPr>
              <w:t>Test</w:t>
            </w:r>
            <w:r>
              <w:rPr>
                <w:b/>
              </w:rPr>
              <w:t>ing</w:t>
            </w:r>
          </w:p>
        </w:tc>
        <w:tc>
          <w:tcPr>
            <w:tcW w:w="3960" w:type="dxa"/>
            <w:vAlign w:val="center"/>
          </w:tcPr>
          <w:p w14:paraId="6D2DCF62" w14:textId="77777777" w:rsidR="00AA15A7" w:rsidRPr="009A4205" w:rsidRDefault="00AA15A7" w:rsidP="00075FCD">
            <w:pPr>
              <w:spacing w:after="0" w:line="240" w:lineRule="auto"/>
              <w:jc w:val="center"/>
            </w:pPr>
            <w:r w:rsidRPr="009A4205">
              <w:rPr>
                <w:b/>
              </w:rPr>
              <w:t>Results of Testing; Corrective Action Plan or Compensating Controls for Weaknesses Identified</w:t>
            </w:r>
          </w:p>
        </w:tc>
      </w:tr>
      <w:tr w:rsidR="00AA15A7" w:rsidRPr="009A4205" w14:paraId="69BDABDC" w14:textId="77777777" w:rsidTr="00075FCD">
        <w:tc>
          <w:tcPr>
            <w:tcW w:w="4518" w:type="dxa"/>
          </w:tcPr>
          <w:p w14:paraId="09FF219B" w14:textId="77777777" w:rsidR="00983621" w:rsidRPr="009A4205" w:rsidRDefault="00DE1772" w:rsidP="009836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Agency</w:t>
            </w:r>
            <w:r w:rsidR="00983621" w:rsidRPr="009A4205">
              <w:rPr>
                <w:b/>
              </w:rPr>
              <w:t xml:space="preserve"> ensures</w:t>
            </w:r>
            <w:r w:rsidR="00852394">
              <w:rPr>
                <w:b/>
              </w:rPr>
              <w:t xml:space="preserve"> </w:t>
            </w:r>
            <w:r w:rsidR="00983621" w:rsidRPr="009A4205">
              <w:rPr>
                <w:b/>
              </w:rPr>
              <w:t xml:space="preserve">payments </w:t>
            </w:r>
            <w:proofErr w:type="gramStart"/>
            <w:r w:rsidR="00983621" w:rsidRPr="009A4205">
              <w:rPr>
                <w:b/>
              </w:rPr>
              <w:t xml:space="preserve">are </w:t>
            </w:r>
            <w:r w:rsidR="00391C70">
              <w:rPr>
                <w:b/>
              </w:rPr>
              <w:t>in compliance with</w:t>
            </w:r>
            <w:proofErr w:type="gramEnd"/>
            <w:r w:rsidR="00391C70">
              <w:rPr>
                <w:b/>
              </w:rPr>
              <w:t xml:space="preserve"> </w:t>
            </w:r>
            <w:r w:rsidR="00820A9D">
              <w:rPr>
                <w:b/>
              </w:rPr>
              <w:t xml:space="preserve">the </w:t>
            </w:r>
            <w:r w:rsidR="00391C70">
              <w:rPr>
                <w:b/>
              </w:rPr>
              <w:t>contract</w:t>
            </w:r>
            <w:r w:rsidR="000E37D6">
              <w:rPr>
                <w:b/>
              </w:rPr>
              <w:t xml:space="preserve"> payment terms</w:t>
            </w:r>
            <w:r w:rsidR="00983621" w:rsidRPr="009A4205">
              <w:rPr>
                <w:b/>
              </w:rPr>
              <w:t xml:space="preserve"> and has a process that includes verifying the following: </w:t>
            </w:r>
          </w:p>
          <w:p w14:paraId="1BB8F5F4" w14:textId="77777777" w:rsidR="00EA3B33" w:rsidRDefault="00983621" w:rsidP="00EA3B3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Vendors are paid through ACH where required.</w:t>
            </w:r>
          </w:p>
          <w:p w14:paraId="21C03F6D" w14:textId="77777777" w:rsidR="00A8165C" w:rsidRPr="00EA3B33" w:rsidRDefault="00A8165C" w:rsidP="00983621">
            <w:pPr>
              <w:pStyle w:val="ListParagraph"/>
              <w:spacing w:after="0" w:line="240" w:lineRule="auto"/>
            </w:pPr>
          </w:p>
          <w:p w14:paraId="674DEB66" w14:textId="77777777" w:rsidR="00AA15A7" w:rsidRPr="009A4205" w:rsidRDefault="00AA15A7" w:rsidP="00EA3B33">
            <w:pPr>
              <w:spacing w:after="0" w:line="240" w:lineRule="auto"/>
            </w:pPr>
          </w:p>
        </w:tc>
        <w:tc>
          <w:tcPr>
            <w:tcW w:w="5220" w:type="dxa"/>
          </w:tcPr>
          <w:p w14:paraId="334C87BD" w14:textId="77777777" w:rsidR="00B941BA" w:rsidRPr="008B35EC" w:rsidRDefault="00B941BA" w:rsidP="00813BD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 xml:space="preserve">Determine </w:t>
            </w:r>
            <w:r w:rsidR="00886B6B" w:rsidRPr="008B35EC">
              <w:rPr>
                <w:rFonts w:cs="Helv"/>
                <w:color w:val="000000"/>
              </w:rPr>
              <w:t>the type of contract</w:t>
            </w:r>
            <w:r w:rsidRPr="008B35EC">
              <w:rPr>
                <w:rFonts w:cs="Helv"/>
                <w:color w:val="000000"/>
              </w:rPr>
              <w:t>:</w:t>
            </w:r>
          </w:p>
          <w:p w14:paraId="1A0035C7" w14:textId="77777777" w:rsidR="00B941BA" w:rsidRPr="008B35EC" w:rsidRDefault="00B941BA" w:rsidP="00B941BA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>Centralized</w:t>
            </w:r>
          </w:p>
          <w:p w14:paraId="151BDE26" w14:textId="77777777" w:rsidR="00D66CEF" w:rsidRPr="008B35EC" w:rsidRDefault="00B941BA" w:rsidP="00B941BA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>Agency-specific</w:t>
            </w:r>
          </w:p>
          <w:p w14:paraId="69261CE3" w14:textId="77777777" w:rsidR="00B941BA" w:rsidRPr="008B35EC" w:rsidRDefault="00B941BA" w:rsidP="00B941BA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>Property lease</w:t>
            </w:r>
          </w:p>
          <w:p w14:paraId="762F1C6F" w14:textId="77777777" w:rsidR="00B941BA" w:rsidRPr="008B35EC" w:rsidRDefault="00B941BA" w:rsidP="00B941BA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>Grants Gateway</w:t>
            </w:r>
          </w:p>
          <w:p w14:paraId="0862C4B7" w14:textId="77777777" w:rsidR="00585022" w:rsidRDefault="00385AB7" w:rsidP="00813BD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>For a representative sample of contracts, d</w:t>
            </w:r>
            <w:r w:rsidR="002A2971" w:rsidRPr="008B35EC">
              <w:rPr>
                <w:rFonts w:cs="Helv"/>
                <w:color w:val="000000"/>
              </w:rPr>
              <w:t>etermine if the</w:t>
            </w:r>
            <w:r w:rsidR="00EB789B" w:rsidRPr="008B35EC">
              <w:rPr>
                <w:rFonts w:cs="Helv"/>
                <w:color w:val="000000"/>
              </w:rPr>
              <w:t xml:space="preserve"> contract payment terms require</w:t>
            </w:r>
            <w:r w:rsidR="002A2971" w:rsidRPr="008B35EC">
              <w:rPr>
                <w:rFonts w:cs="Helv"/>
                <w:color w:val="000000"/>
              </w:rPr>
              <w:t xml:space="preserve"> electronic payment</w:t>
            </w:r>
            <w:r w:rsidR="00A344E5" w:rsidRPr="008B35EC">
              <w:rPr>
                <w:rFonts w:cs="Helv"/>
                <w:color w:val="000000"/>
              </w:rPr>
              <w:t xml:space="preserve">.  </w:t>
            </w:r>
            <w:r w:rsidR="0003328B" w:rsidRPr="008B35EC">
              <w:rPr>
                <w:rFonts w:cs="Helv"/>
                <w:color w:val="000000"/>
              </w:rPr>
              <w:t xml:space="preserve">For example, </w:t>
            </w:r>
            <w:r w:rsidR="00DE1772" w:rsidRPr="008B35EC">
              <w:rPr>
                <w:rFonts w:cs="Helv"/>
                <w:color w:val="000000"/>
              </w:rPr>
              <w:t>agen</w:t>
            </w:r>
            <w:r w:rsidR="003F156C" w:rsidRPr="008B35EC">
              <w:rPr>
                <w:rFonts w:cs="Helv"/>
                <w:color w:val="000000"/>
              </w:rPr>
              <w:t>ci</w:t>
            </w:r>
            <w:r w:rsidR="00DE1772" w:rsidRPr="008B35EC">
              <w:rPr>
                <w:rFonts w:cs="Helv"/>
                <w:color w:val="000000"/>
              </w:rPr>
              <w:t>es</w:t>
            </w:r>
            <w:r w:rsidR="00A344E5" w:rsidRPr="008B35EC">
              <w:rPr>
                <w:rFonts w:cs="Helv"/>
                <w:color w:val="000000"/>
              </w:rPr>
              <w:t xml:space="preserve"> should consider a representative sample that focuses on the highest</w:t>
            </w:r>
            <w:r w:rsidR="00C8304B" w:rsidRPr="008B35EC">
              <w:rPr>
                <w:rFonts w:cs="Helv"/>
                <w:color w:val="000000"/>
              </w:rPr>
              <w:t xml:space="preserve"> and/or most frequently</w:t>
            </w:r>
            <w:r w:rsidR="00A344E5" w:rsidRPr="008B35EC">
              <w:rPr>
                <w:rFonts w:cs="Helv"/>
                <w:color w:val="000000"/>
              </w:rPr>
              <w:t xml:space="preserve"> paid vendors.</w:t>
            </w:r>
            <w:r w:rsidR="00145046" w:rsidRPr="008B35EC">
              <w:rPr>
                <w:rFonts w:cs="Helv"/>
                <w:color w:val="000000"/>
              </w:rPr>
              <w:t xml:space="preserve">  </w:t>
            </w:r>
          </w:p>
          <w:p w14:paraId="502153A8" w14:textId="77777777" w:rsidR="00585022" w:rsidRDefault="00CC64C9" w:rsidP="00B83AE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Helv"/>
                <w:color w:val="000000"/>
              </w:rPr>
            </w:pPr>
            <w:r>
              <w:rPr>
                <w:rFonts w:cs="Helv"/>
                <w:color w:val="000000"/>
              </w:rPr>
              <w:t>To obtain payment information, o</w:t>
            </w:r>
            <w:r w:rsidR="00585022" w:rsidRPr="00550E7B">
              <w:rPr>
                <w:rFonts w:cs="Helv"/>
                <w:color w:val="000000"/>
              </w:rPr>
              <w:t xml:space="preserve">nline agencies </w:t>
            </w:r>
            <w:r w:rsidR="00585022">
              <w:rPr>
                <w:rFonts w:cs="Helv"/>
                <w:color w:val="000000"/>
              </w:rPr>
              <w:t>should</w:t>
            </w:r>
            <w:r w:rsidR="00585022" w:rsidRPr="00550E7B">
              <w:rPr>
                <w:rFonts w:cs="Helv"/>
                <w:color w:val="000000"/>
              </w:rPr>
              <w:t xml:space="preserve"> </w:t>
            </w:r>
            <w:r w:rsidR="00DF1AA9">
              <w:rPr>
                <w:rFonts w:cs="Helv"/>
                <w:color w:val="000000"/>
              </w:rPr>
              <w:t>access several reports in</w:t>
            </w:r>
            <w:r w:rsidR="00585022" w:rsidRPr="00550E7B">
              <w:rPr>
                <w:rFonts w:cs="Helv"/>
                <w:color w:val="000000"/>
              </w:rPr>
              <w:t xml:space="preserve"> SFS Analytics </w:t>
            </w:r>
            <w:r w:rsidR="00585022">
              <w:rPr>
                <w:rFonts w:cs="Helv"/>
                <w:color w:val="000000"/>
              </w:rPr>
              <w:t>as follows:</w:t>
            </w:r>
          </w:p>
          <w:p w14:paraId="29933032" w14:textId="77777777" w:rsidR="00585022" w:rsidRDefault="00585022" w:rsidP="00B83AE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>
              <w:rPr>
                <w:rFonts w:cs="Helv"/>
                <w:color w:val="000000"/>
              </w:rPr>
              <w:t xml:space="preserve">Log-on to SFS, go to the Navigator, select Reporting Tools, and then SFS Analytics. </w:t>
            </w:r>
          </w:p>
          <w:p w14:paraId="0EACB1AE" w14:textId="77777777" w:rsidR="00585022" w:rsidRDefault="00585022" w:rsidP="00B83AE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>
              <w:rPr>
                <w:rFonts w:cs="Helv"/>
                <w:color w:val="000000"/>
              </w:rPr>
              <w:t>S</w:t>
            </w:r>
            <w:r w:rsidRPr="00550E7B">
              <w:rPr>
                <w:rFonts w:cs="Helv"/>
                <w:color w:val="000000"/>
              </w:rPr>
              <w:t xml:space="preserve">elect Document Listing Reports, then report DW330 - Voucher Listing. </w:t>
            </w:r>
          </w:p>
          <w:p w14:paraId="12290694" w14:textId="77777777" w:rsidR="00585022" w:rsidRDefault="00EE4BCC" w:rsidP="00B83AE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>
              <w:rPr>
                <w:rFonts w:cs="Helv"/>
                <w:color w:val="000000"/>
              </w:rPr>
              <w:t xml:space="preserve">On this screen there are two </w:t>
            </w:r>
            <w:r w:rsidR="00585022">
              <w:rPr>
                <w:rFonts w:cs="Helv"/>
                <w:color w:val="000000"/>
              </w:rPr>
              <w:t>reports</w:t>
            </w:r>
            <w:r>
              <w:rPr>
                <w:rFonts w:cs="Helv"/>
                <w:color w:val="000000"/>
              </w:rPr>
              <w:t>/tab</w:t>
            </w:r>
            <w:r w:rsidR="00585022">
              <w:rPr>
                <w:rFonts w:cs="Helv"/>
                <w:color w:val="000000"/>
              </w:rPr>
              <w:t xml:space="preserve"> to run: </w:t>
            </w:r>
            <w:r w:rsidR="00585022" w:rsidRPr="00B83AEE">
              <w:rPr>
                <w:rFonts w:cs="Helv"/>
                <w:b/>
                <w:color w:val="000000"/>
              </w:rPr>
              <w:t>Listing</w:t>
            </w:r>
            <w:r w:rsidR="00585022">
              <w:rPr>
                <w:rFonts w:cs="Helv"/>
                <w:color w:val="000000"/>
              </w:rPr>
              <w:t xml:space="preserve"> (for accounting information on all vouchers) and </w:t>
            </w:r>
            <w:r w:rsidR="00585022" w:rsidRPr="00B83AEE">
              <w:rPr>
                <w:rFonts w:cs="Helv"/>
                <w:b/>
                <w:color w:val="000000"/>
              </w:rPr>
              <w:t>Paid Vouchers</w:t>
            </w:r>
            <w:r w:rsidR="00585022">
              <w:rPr>
                <w:rFonts w:cs="Helv"/>
                <w:color w:val="000000"/>
              </w:rPr>
              <w:t xml:space="preserve"> (information on which vouchers were paid). </w:t>
            </w:r>
          </w:p>
          <w:p w14:paraId="4AEE0F3E" w14:textId="77777777" w:rsidR="00585022" w:rsidRDefault="00585022" w:rsidP="00B83AE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>
              <w:rPr>
                <w:rFonts w:cs="Helv"/>
                <w:color w:val="000000"/>
              </w:rPr>
              <w:t xml:space="preserve">Compare the Listing report to the Paid Vouchers report to determine which vouchers were paid and the payment method. </w:t>
            </w:r>
          </w:p>
          <w:p w14:paraId="29CB8F32" w14:textId="77777777" w:rsidR="00585022" w:rsidRDefault="00585022" w:rsidP="00B83AE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>
              <w:rPr>
                <w:rFonts w:cs="Helv"/>
                <w:color w:val="000000"/>
              </w:rPr>
              <w:lastRenderedPageBreak/>
              <w:t xml:space="preserve">Use </w:t>
            </w:r>
            <w:r w:rsidR="00B54370">
              <w:rPr>
                <w:rFonts w:cs="Helv"/>
                <w:color w:val="000000"/>
              </w:rPr>
              <w:t>these reports in conjunction</w:t>
            </w:r>
            <w:r>
              <w:rPr>
                <w:rFonts w:cs="Helv"/>
                <w:color w:val="000000"/>
              </w:rPr>
              <w:t xml:space="preserve"> </w:t>
            </w:r>
            <w:r w:rsidR="00B54370">
              <w:rPr>
                <w:rFonts w:cs="Helv"/>
                <w:color w:val="000000"/>
              </w:rPr>
              <w:t>with</w:t>
            </w:r>
            <w:r>
              <w:rPr>
                <w:rFonts w:cs="Helv"/>
                <w:color w:val="000000"/>
              </w:rPr>
              <w:t xml:space="preserve"> </w:t>
            </w:r>
            <w:r w:rsidR="00CC64C9">
              <w:rPr>
                <w:rFonts w:cs="Helv"/>
                <w:color w:val="000000"/>
              </w:rPr>
              <w:t xml:space="preserve">the query noted </w:t>
            </w:r>
            <w:r w:rsidR="00350C72">
              <w:rPr>
                <w:rFonts w:cs="Helv"/>
                <w:color w:val="000000"/>
              </w:rPr>
              <w:t xml:space="preserve">under #3 </w:t>
            </w:r>
            <w:r w:rsidR="00CC64C9">
              <w:rPr>
                <w:rFonts w:cs="Helv"/>
                <w:color w:val="000000"/>
              </w:rPr>
              <w:t xml:space="preserve">below </w:t>
            </w:r>
            <w:r w:rsidR="00B54370">
              <w:rPr>
                <w:rFonts w:cs="Helv"/>
                <w:color w:val="000000"/>
              </w:rPr>
              <w:t>to assist with your testing</w:t>
            </w:r>
            <w:r>
              <w:rPr>
                <w:rFonts w:cs="Helv"/>
                <w:color w:val="000000"/>
              </w:rPr>
              <w:t>.</w:t>
            </w:r>
          </w:p>
          <w:p w14:paraId="01414A8F" w14:textId="77777777" w:rsidR="00B54370" w:rsidRDefault="00B54370" w:rsidP="00B83AE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Helv"/>
                <w:color w:val="000000"/>
              </w:rPr>
            </w:pPr>
          </w:p>
          <w:p w14:paraId="40D5F7D0" w14:textId="77777777" w:rsidR="00585022" w:rsidRDefault="001F36FB" w:rsidP="00B83AE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Helv"/>
                <w:color w:val="000000"/>
              </w:rPr>
            </w:pPr>
            <w:r>
              <w:rPr>
                <w:rFonts w:cs="Helv"/>
                <w:color w:val="000000"/>
              </w:rPr>
              <w:t>A</w:t>
            </w:r>
            <w:r w:rsidR="00585022" w:rsidRPr="008B35EC">
              <w:rPr>
                <w:rFonts w:cs="Helv"/>
                <w:color w:val="000000"/>
              </w:rPr>
              <w:t xml:space="preserve">gencies </w:t>
            </w:r>
            <w:r>
              <w:rPr>
                <w:rFonts w:cs="Helv"/>
                <w:color w:val="000000"/>
              </w:rPr>
              <w:t>should</w:t>
            </w:r>
            <w:r w:rsidR="00585022" w:rsidRPr="008B35EC">
              <w:rPr>
                <w:rFonts w:cs="Helv"/>
                <w:color w:val="000000"/>
              </w:rPr>
              <w:t xml:space="preserve"> contact </w:t>
            </w:r>
            <w:r w:rsidR="00581952">
              <w:rPr>
                <w:rFonts w:cs="Helv"/>
                <w:color w:val="000000"/>
              </w:rPr>
              <w:t>SFS (helpdesk@sfs.ny.gov) to request access to SFS Analytics.</w:t>
            </w:r>
          </w:p>
          <w:p w14:paraId="6B90B250" w14:textId="77777777" w:rsidR="00585022" w:rsidRDefault="00585022" w:rsidP="00B83AE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Helv"/>
                <w:color w:val="000000"/>
              </w:rPr>
            </w:pPr>
          </w:p>
          <w:p w14:paraId="2915A4DE" w14:textId="77777777" w:rsidR="00D66CEF" w:rsidRPr="008B35EC" w:rsidRDefault="00D66CEF" w:rsidP="00D66CE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 xml:space="preserve">If the contract is centralized, </w:t>
            </w:r>
            <w:r w:rsidRPr="008B35EC">
              <w:t>review the contr</w:t>
            </w:r>
            <w:r w:rsidR="00443F05" w:rsidRPr="008B35EC">
              <w:t>act to determine if it</w:t>
            </w:r>
            <w:r w:rsidRPr="008B35EC">
              <w:t xml:space="preserve"> contains Appendix B</w:t>
            </w:r>
            <w:r w:rsidR="00DE12DA" w:rsidRPr="008B35EC">
              <w:t xml:space="preserve">, </w:t>
            </w:r>
            <w:r w:rsidR="00DE12DA" w:rsidRPr="008B35EC">
              <w:rPr>
                <w:i/>
              </w:rPr>
              <w:t>Section 48(b) – Terms and Conditions – Contract Invoicing</w:t>
            </w:r>
            <w:r w:rsidRPr="008B35EC">
              <w:t>, wh</w:t>
            </w:r>
            <w:r w:rsidR="00A84FD5" w:rsidRPr="008B35EC">
              <w:t>ich requires electronic payment</w:t>
            </w:r>
            <w:r w:rsidRPr="008B35EC">
              <w:t>.</w:t>
            </w:r>
            <w:r w:rsidR="00113BDA" w:rsidRPr="008B35EC">
              <w:t xml:space="preserve"> This requirement should exist in contracts dated June 2014 and later.</w:t>
            </w:r>
            <w:r w:rsidR="00192149" w:rsidRPr="008B35EC">
              <w:t xml:space="preserve">  </w:t>
            </w:r>
            <w:r w:rsidR="00DF71DD" w:rsidRPr="008B35EC">
              <w:t xml:space="preserve">Agencies should refer to the </w:t>
            </w:r>
            <w:hyperlink r:id="rId8" w:history="1">
              <w:r w:rsidR="00DF71DD" w:rsidRPr="008B35EC">
                <w:rPr>
                  <w:rStyle w:val="Hyperlink"/>
                </w:rPr>
                <w:t>Office of General Services Procurement Services website</w:t>
              </w:r>
            </w:hyperlink>
            <w:r w:rsidR="00DF71DD" w:rsidRPr="008B35EC">
              <w:t xml:space="preserve"> for a list of all centralized contracts.  </w:t>
            </w:r>
            <w:r w:rsidR="001C3DAA" w:rsidRPr="008B35EC">
              <w:t>A</w:t>
            </w:r>
            <w:r w:rsidR="007D4772" w:rsidRPr="008B35EC">
              <w:t>gencies may request</w:t>
            </w:r>
            <w:r w:rsidR="00192149" w:rsidRPr="008B35EC">
              <w:t xml:space="preserve"> a l</w:t>
            </w:r>
            <w:r w:rsidR="00814FE5" w:rsidRPr="008B35EC">
              <w:t xml:space="preserve">ist of all </w:t>
            </w:r>
            <w:r w:rsidR="006014DB" w:rsidRPr="008B35EC">
              <w:t xml:space="preserve">centralized </w:t>
            </w:r>
            <w:r w:rsidR="00814FE5" w:rsidRPr="008B35EC">
              <w:t xml:space="preserve">contracts </w:t>
            </w:r>
            <w:r w:rsidR="00464CB6" w:rsidRPr="008B35EC">
              <w:t xml:space="preserve">that </w:t>
            </w:r>
            <w:r w:rsidR="00192149" w:rsidRPr="008B35EC">
              <w:t xml:space="preserve">were exempt </w:t>
            </w:r>
            <w:r w:rsidR="001C3DAA" w:rsidRPr="008B35EC">
              <w:t xml:space="preserve">from ACH </w:t>
            </w:r>
            <w:r w:rsidR="00192149" w:rsidRPr="008B35EC">
              <w:t>by the OGS Commissioner.</w:t>
            </w:r>
          </w:p>
          <w:p w14:paraId="3E62B197" w14:textId="77777777" w:rsidR="00B941BA" w:rsidRPr="008B35EC" w:rsidRDefault="00D66CEF" w:rsidP="00D66CE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 xml:space="preserve">If the contract is </w:t>
            </w:r>
            <w:r w:rsidR="00513D6E" w:rsidRPr="008B35EC">
              <w:rPr>
                <w:rFonts w:cs="Helv"/>
                <w:color w:val="000000"/>
              </w:rPr>
              <w:t>agency-specific</w:t>
            </w:r>
            <w:r w:rsidR="00B941BA" w:rsidRPr="008B35EC">
              <w:rPr>
                <w:rFonts w:cs="Helv"/>
                <w:color w:val="000000"/>
              </w:rPr>
              <w:t xml:space="preserve"> or a property lease, review the payment terms and conditions to determine if electronic payment is required.</w:t>
            </w:r>
          </w:p>
          <w:p w14:paraId="6B43B8A2" w14:textId="77777777" w:rsidR="00D66CEF" w:rsidRPr="008B35EC" w:rsidRDefault="00B941BA" w:rsidP="00D66CE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 xml:space="preserve">If the contract </w:t>
            </w:r>
            <w:r w:rsidR="00BA7195" w:rsidRPr="008B35EC">
              <w:rPr>
                <w:rFonts w:cs="Helv"/>
                <w:color w:val="000000"/>
              </w:rPr>
              <w:t>originates in Grants Gateway</w:t>
            </w:r>
            <w:r w:rsidR="00CA33F0" w:rsidRPr="008B35EC">
              <w:rPr>
                <w:rFonts w:cs="Helv"/>
                <w:color w:val="000000"/>
              </w:rPr>
              <w:t xml:space="preserve">, </w:t>
            </w:r>
            <w:r w:rsidR="00AC12DA" w:rsidRPr="008B35EC">
              <w:rPr>
                <w:rFonts w:cs="Helv"/>
                <w:color w:val="000000"/>
              </w:rPr>
              <w:t>please note</w:t>
            </w:r>
            <w:r w:rsidR="00897FE8" w:rsidRPr="008B35EC">
              <w:rPr>
                <w:rFonts w:cs="Helv"/>
                <w:color w:val="000000"/>
              </w:rPr>
              <w:t xml:space="preserve"> in</w:t>
            </w:r>
            <w:r w:rsidR="00AC12DA" w:rsidRPr="008B35EC">
              <w:rPr>
                <w:rFonts w:cs="Helv"/>
                <w:color w:val="000000"/>
              </w:rPr>
              <w:t xml:space="preserve"> </w:t>
            </w:r>
            <w:r w:rsidR="00155CDF" w:rsidRPr="008B35EC">
              <w:rPr>
                <w:rFonts w:cs="Helv"/>
                <w:i/>
                <w:color w:val="000000"/>
              </w:rPr>
              <w:t xml:space="preserve">Section </w:t>
            </w:r>
            <w:r w:rsidR="00155CDF" w:rsidRPr="00805520">
              <w:rPr>
                <w:i/>
              </w:rPr>
              <w:t>III(A) – Payment and Reporting Terms and Conditions</w:t>
            </w:r>
            <w:r w:rsidR="00155CDF" w:rsidRPr="008B35EC">
              <w:rPr>
                <w:rFonts w:cs="Helv"/>
                <w:color w:val="000000"/>
              </w:rPr>
              <w:t xml:space="preserve">, </w:t>
            </w:r>
            <w:r w:rsidR="00B90B39" w:rsidRPr="008B35EC">
              <w:rPr>
                <w:rFonts w:cs="Helv"/>
                <w:color w:val="000000"/>
              </w:rPr>
              <w:t>electronic payment is required</w:t>
            </w:r>
            <w:r w:rsidR="00155CDF" w:rsidRPr="008B35EC">
              <w:rPr>
                <w:rFonts w:cs="Helv"/>
                <w:color w:val="000000"/>
              </w:rPr>
              <w:t xml:space="preserve"> unless the head of the State </w:t>
            </w:r>
            <w:r w:rsidR="00CC74A8" w:rsidRPr="008B35EC">
              <w:rPr>
                <w:rFonts w:cs="Helv"/>
                <w:color w:val="000000"/>
              </w:rPr>
              <w:t>a</w:t>
            </w:r>
            <w:r w:rsidR="00155CDF" w:rsidRPr="008B35EC">
              <w:rPr>
                <w:rFonts w:cs="Helv"/>
                <w:color w:val="000000"/>
              </w:rPr>
              <w:t>gency authorizes otherwise due to extenuating circumstances</w:t>
            </w:r>
            <w:r w:rsidR="00B02F7F" w:rsidRPr="008B35EC">
              <w:rPr>
                <w:rFonts w:cs="Helv"/>
                <w:color w:val="000000"/>
              </w:rPr>
              <w:t>.</w:t>
            </w:r>
          </w:p>
          <w:p w14:paraId="200F0355" w14:textId="77777777" w:rsidR="00581952" w:rsidRDefault="00DD4981" w:rsidP="005819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 xml:space="preserve">Refer to </w:t>
            </w:r>
            <w:hyperlink r:id="rId9" w:history="1">
              <w:r w:rsidRPr="008B35EC">
                <w:rPr>
                  <w:rStyle w:val="Hyperlink"/>
                  <w:rFonts w:cs="Helv"/>
                </w:rPr>
                <w:t>Section XII.5.D</w:t>
              </w:r>
            </w:hyperlink>
            <w:r w:rsidRPr="008B35EC">
              <w:rPr>
                <w:rFonts w:cs="Helv"/>
                <w:color w:val="000000"/>
              </w:rPr>
              <w:t xml:space="preserve"> of the Guide to Financial Operations (GFO) for guidance on paying vendors through ACH</w:t>
            </w:r>
            <w:r w:rsidR="004D57E8" w:rsidRPr="008B35EC">
              <w:rPr>
                <w:rFonts w:cs="Helv"/>
                <w:color w:val="000000"/>
              </w:rPr>
              <w:t xml:space="preserve"> for the following tests</w:t>
            </w:r>
            <w:r w:rsidRPr="008B35EC">
              <w:rPr>
                <w:rFonts w:cs="Helv"/>
                <w:color w:val="000000"/>
              </w:rPr>
              <w:t>.</w:t>
            </w:r>
            <w:r w:rsidR="00CC64C9">
              <w:rPr>
                <w:rFonts w:cs="Helv"/>
                <w:color w:val="000000"/>
              </w:rPr>
              <w:t xml:space="preserve"> </w:t>
            </w:r>
            <w:r w:rsidR="00763CB6">
              <w:rPr>
                <w:rFonts w:cs="Helv"/>
                <w:color w:val="000000"/>
              </w:rPr>
              <w:t xml:space="preserve"> </w:t>
            </w:r>
            <w:r w:rsidR="001F36FB">
              <w:rPr>
                <w:rFonts w:cs="Helv"/>
                <w:color w:val="000000"/>
              </w:rPr>
              <w:t>A</w:t>
            </w:r>
            <w:r w:rsidR="00CC64C9">
              <w:rPr>
                <w:rFonts w:cs="Helv"/>
                <w:color w:val="000000"/>
              </w:rPr>
              <w:t xml:space="preserve">gencies can </w:t>
            </w:r>
            <w:r w:rsidR="00CC64C9">
              <w:rPr>
                <w:rFonts w:cs="Helv"/>
                <w:color w:val="000000"/>
              </w:rPr>
              <w:lastRenderedPageBreak/>
              <w:t xml:space="preserve">use the query </w:t>
            </w:r>
            <w:r w:rsidR="00CC64C9" w:rsidRPr="008C2C09">
              <w:rPr>
                <w:rFonts w:cs="Helv"/>
                <w:color w:val="000000"/>
              </w:rPr>
              <w:t>NY_ACH_VENDORS_REPORT</w:t>
            </w:r>
            <w:r w:rsidR="00CC64C9">
              <w:rPr>
                <w:rFonts w:cs="Helv"/>
                <w:color w:val="000000"/>
              </w:rPr>
              <w:t xml:space="preserve"> </w:t>
            </w:r>
            <w:r w:rsidR="00CC64C9" w:rsidRPr="008B35EC">
              <w:rPr>
                <w:rFonts w:cs="Helv"/>
                <w:color w:val="000000"/>
              </w:rPr>
              <w:t xml:space="preserve">to </w:t>
            </w:r>
            <w:r w:rsidR="00CC64C9">
              <w:rPr>
                <w:rFonts w:cs="Helv"/>
                <w:color w:val="000000"/>
              </w:rPr>
              <w:t>obtain vendor payment</w:t>
            </w:r>
            <w:r w:rsidR="00CC64C9" w:rsidRPr="008B35EC">
              <w:rPr>
                <w:rFonts w:cs="Helv"/>
                <w:color w:val="000000"/>
              </w:rPr>
              <w:t xml:space="preserve"> </w:t>
            </w:r>
            <w:r w:rsidR="00CC64C9">
              <w:rPr>
                <w:rFonts w:cs="Helv"/>
                <w:color w:val="000000"/>
              </w:rPr>
              <w:t>information (e.g., location, payment method, etc.)</w:t>
            </w:r>
            <w:r w:rsidR="00581952">
              <w:rPr>
                <w:rFonts w:cs="Helv"/>
                <w:color w:val="000000"/>
              </w:rPr>
              <w:t xml:space="preserve">.  </w:t>
            </w:r>
            <w:r w:rsidR="001F36FB">
              <w:rPr>
                <w:rFonts w:cs="Helv"/>
                <w:color w:val="000000"/>
              </w:rPr>
              <w:t>A</w:t>
            </w:r>
            <w:r w:rsidR="00581952" w:rsidRPr="008B35EC">
              <w:rPr>
                <w:rFonts w:cs="Helv"/>
                <w:color w:val="000000"/>
              </w:rPr>
              <w:t xml:space="preserve">gencies </w:t>
            </w:r>
            <w:r w:rsidR="001F36FB">
              <w:rPr>
                <w:rFonts w:cs="Helv"/>
                <w:color w:val="000000"/>
              </w:rPr>
              <w:t>should</w:t>
            </w:r>
            <w:r w:rsidR="00581952" w:rsidRPr="008B35EC">
              <w:rPr>
                <w:rFonts w:cs="Helv"/>
                <w:color w:val="000000"/>
              </w:rPr>
              <w:t xml:space="preserve"> contact </w:t>
            </w:r>
            <w:r w:rsidR="00581952">
              <w:rPr>
                <w:rFonts w:cs="Helv"/>
                <w:color w:val="000000"/>
              </w:rPr>
              <w:t>SFS (helpdesk@sfs.ny.gov) to request access to run queries in SFS.</w:t>
            </w:r>
          </w:p>
          <w:p w14:paraId="7AFF9DAE" w14:textId="77777777" w:rsidR="00CC64C9" w:rsidRPr="008B35EC" w:rsidRDefault="00CC64C9" w:rsidP="00B83AE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Helv"/>
                <w:color w:val="000000"/>
              </w:rPr>
            </w:pPr>
          </w:p>
          <w:p w14:paraId="3B511931" w14:textId="77777777" w:rsidR="00813BD4" w:rsidRPr="00B10585" w:rsidRDefault="00813BD4" w:rsidP="00550E7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Helv"/>
                <w:color w:val="000000"/>
              </w:rPr>
            </w:pPr>
            <w:r w:rsidRPr="009A4205">
              <w:t>For a representative sample of payments</w:t>
            </w:r>
            <w:r w:rsidR="00DE1772">
              <w:t xml:space="preserve"> on contracts that require electronic payments</w:t>
            </w:r>
            <w:r w:rsidRPr="009A4205">
              <w:t xml:space="preserve">, </w:t>
            </w:r>
            <w:r w:rsidR="00DD4981">
              <w:t>identify the payments that were not made through ACH and determine</w:t>
            </w:r>
            <w:r w:rsidRPr="009A4205">
              <w:t>:</w:t>
            </w:r>
          </w:p>
          <w:p w14:paraId="314045BE" w14:textId="77777777" w:rsidR="00DD4981" w:rsidRPr="008B35EC" w:rsidRDefault="00DD4981" w:rsidP="0024556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 xml:space="preserve">If the vendor </w:t>
            </w:r>
            <w:r w:rsidR="004D57E8" w:rsidRPr="008B35EC">
              <w:rPr>
                <w:rFonts w:cs="Helv"/>
                <w:color w:val="000000"/>
              </w:rPr>
              <w:t xml:space="preserve">has a </w:t>
            </w:r>
            <w:r w:rsidRPr="008B35EC">
              <w:rPr>
                <w:rFonts w:cs="Helv"/>
                <w:color w:val="000000"/>
              </w:rPr>
              <w:t xml:space="preserve">location </w:t>
            </w:r>
            <w:r w:rsidR="004D57E8" w:rsidRPr="008B35EC">
              <w:rPr>
                <w:rFonts w:cs="Helv"/>
                <w:color w:val="000000"/>
              </w:rPr>
              <w:t xml:space="preserve">for </w:t>
            </w:r>
            <w:r w:rsidRPr="008B35EC">
              <w:rPr>
                <w:rFonts w:cs="Helv"/>
                <w:color w:val="000000"/>
              </w:rPr>
              <w:t xml:space="preserve">ACH as the payment method. </w:t>
            </w:r>
          </w:p>
          <w:p w14:paraId="09C054CE" w14:textId="77777777" w:rsidR="0024556C" w:rsidRPr="008B35EC" w:rsidRDefault="001E626D" w:rsidP="0024556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>If the vendor received a written waiver to opt out of electronic payments, where allowable per contract terms.</w:t>
            </w:r>
          </w:p>
          <w:p w14:paraId="328220F4" w14:textId="77777777" w:rsidR="00EE41E2" w:rsidRPr="008B35EC" w:rsidRDefault="004D57E8" w:rsidP="0024556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 xml:space="preserve">If the agency </w:t>
            </w:r>
            <w:r w:rsidR="0072573F" w:rsidRPr="008B35EC">
              <w:rPr>
                <w:rFonts w:cs="Helv"/>
                <w:color w:val="000000"/>
              </w:rPr>
              <w:t>selected the appropriate payment location.</w:t>
            </w:r>
            <w:r w:rsidR="008E0167" w:rsidRPr="008B35EC">
              <w:rPr>
                <w:rFonts w:cs="Helv"/>
                <w:color w:val="000000"/>
              </w:rPr>
              <w:t xml:space="preserve"> </w:t>
            </w:r>
          </w:p>
          <w:p w14:paraId="4536FA5F" w14:textId="77777777" w:rsidR="006F070C" w:rsidRPr="008B35EC" w:rsidRDefault="006F070C" w:rsidP="0024556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 xml:space="preserve">If the </w:t>
            </w:r>
            <w:r w:rsidR="00567B77" w:rsidRPr="008B35EC">
              <w:rPr>
                <w:rFonts w:cs="Helv"/>
                <w:color w:val="000000"/>
              </w:rPr>
              <w:t>agency</w:t>
            </w:r>
            <w:r w:rsidRPr="008B35EC">
              <w:rPr>
                <w:rFonts w:cs="Helv"/>
                <w:color w:val="000000"/>
              </w:rPr>
              <w:t xml:space="preserve"> ensured</w:t>
            </w:r>
            <w:r w:rsidR="00E84FB6" w:rsidRPr="008B35EC">
              <w:rPr>
                <w:rFonts w:cs="Helv"/>
                <w:color w:val="000000"/>
              </w:rPr>
              <w:t xml:space="preserve"> open purchase orders </w:t>
            </w:r>
            <w:r w:rsidR="00567B77" w:rsidRPr="008B35EC">
              <w:rPr>
                <w:rFonts w:cs="Helv"/>
                <w:color w:val="000000"/>
              </w:rPr>
              <w:t>were</w:t>
            </w:r>
            <w:r w:rsidRPr="008B35EC">
              <w:rPr>
                <w:rFonts w:cs="Helv"/>
                <w:color w:val="000000"/>
              </w:rPr>
              <w:t xml:space="preserve"> updated to reflect the proper location for e</w:t>
            </w:r>
            <w:r w:rsidR="00D24718" w:rsidRPr="008B35EC">
              <w:rPr>
                <w:rFonts w:cs="Helv"/>
                <w:color w:val="000000"/>
              </w:rPr>
              <w:t>lectronic p</w:t>
            </w:r>
            <w:r w:rsidRPr="008B35EC">
              <w:rPr>
                <w:rFonts w:cs="Helv"/>
                <w:color w:val="000000"/>
              </w:rPr>
              <w:t>ayments.</w:t>
            </w:r>
          </w:p>
          <w:p w14:paraId="692FDE29" w14:textId="77777777" w:rsidR="00B349FB" w:rsidRPr="008B35EC" w:rsidRDefault="00AC12DA" w:rsidP="0024556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8B35EC">
              <w:rPr>
                <w:rFonts w:cs="Helv"/>
                <w:color w:val="000000"/>
              </w:rPr>
              <w:t>If the vendor has a location for ACH, the agency selected that location, the purchase order has been updated to reflect the ACH location,</w:t>
            </w:r>
            <w:r w:rsidR="00E85D9E" w:rsidRPr="008B35EC">
              <w:rPr>
                <w:rFonts w:cs="Helv"/>
                <w:color w:val="000000"/>
              </w:rPr>
              <w:t xml:space="preserve"> and the agency did not exempt the vendor from receiving ACH,</w:t>
            </w:r>
            <w:r w:rsidRPr="008B35EC">
              <w:rPr>
                <w:rFonts w:cs="Helv"/>
                <w:color w:val="000000"/>
              </w:rPr>
              <w:t xml:space="preserve"> but the vendor still received a check, ask the </w:t>
            </w:r>
            <w:r w:rsidR="004A58D1" w:rsidRPr="008B35EC">
              <w:rPr>
                <w:rFonts w:cs="Helv"/>
                <w:color w:val="000000"/>
              </w:rPr>
              <w:t>Primary Contact/Administrator</w:t>
            </w:r>
            <w:r w:rsidR="001D160C" w:rsidRPr="008B35EC">
              <w:rPr>
                <w:rFonts w:cs="Helv"/>
                <w:color w:val="000000"/>
              </w:rPr>
              <w:t xml:space="preserve"> </w:t>
            </w:r>
            <w:r w:rsidRPr="008B35EC">
              <w:rPr>
                <w:rFonts w:cs="Helv"/>
                <w:color w:val="000000"/>
              </w:rPr>
              <w:t xml:space="preserve">for the vendor </w:t>
            </w:r>
            <w:r w:rsidR="00B349FB" w:rsidRPr="008B35EC">
              <w:rPr>
                <w:rFonts w:cs="Helv"/>
                <w:color w:val="000000"/>
              </w:rPr>
              <w:t xml:space="preserve">to validate </w:t>
            </w:r>
            <w:r w:rsidRPr="008B35EC">
              <w:rPr>
                <w:rFonts w:cs="Helv"/>
                <w:color w:val="000000"/>
              </w:rPr>
              <w:t xml:space="preserve">and update the banking </w:t>
            </w:r>
            <w:r w:rsidR="00B349FB" w:rsidRPr="008B35EC">
              <w:rPr>
                <w:rFonts w:cs="Helv"/>
                <w:color w:val="000000"/>
              </w:rPr>
              <w:t>information</w:t>
            </w:r>
            <w:r w:rsidR="00D94CDC" w:rsidRPr="008B35EC">
              <w:rPr>
                <w:rFonts w:cs="Helv"/>
                <w:color w:val="000000"/>
              </w:rPr>
              <w:t xml:space="preserve"> through</w:t>
            </w:r>
            <w:r w:rsidR="007A6568" w:rsidRPr="008B35EC">
              <w:rPr>
                <w:rFonts w:cs="Helv"/>
                <w:color w:val="000000"/>
              </w:rPr>
              <w:t xml:space="preserve"> the </w:t>
            </w:r>
            <w:hyperlink r:id="rId10" w:history="1">
              <w:r w:rsidR="007A6568" w:rsidRPr="008B35EC">
                <w:rPr>
                  <w:rStyle w:val="Hyperlink"/>
                  <w:rFonts w:cs="Helv"/>
                </w:rPr>
                <w:t>NYS Vendor Portal</w:t>
              </w:r>
            </w:hyperlink>
            <w:r w:rsidR="007A6568" w:rsidRPr="008B35EC">
              <w:rPr>
                <w:rFonts w:cs="Helv"/>
                <w:color w:val="000000"/>
              </w:rPr>
              <w:t xml:space="preserve"> </w:t>
            </w:r>
            <w:r w:rsidR="00393C7D" w:rsidRPr="008B35EC">
              <w:rPr>
                <w:rFonts w:cs="Helv"/>
                <w:color w:val="000000"/>
              </w:rPr>
              <w:t>as</w:t>
            </w:r>
            <w:r w:rsidR="007A6568" w:rsidRPr="008B35EC">
              <w:rPr>
                <w:rFonts w:cs="Helv"/>
                <w:color w:val="000000"/>
              </w:rPr>
              <w:t xml:space="preserve"> necessary</w:t>
            </w:r>
            <w:r w:rsidR="00B349FB" w:rsidRPr="008B35EC">
              <w:rPr>
                <w:rFonts w:cs="Helv"/>
                <w:color w:val="000000"/>
              </w:rPr>
              <w:t>.</w:t>
            </w:r>
            <w:r w:rsidR="004B5962" w:rsidRPr="008B35EC">
              <w:rPr>
                <w:rFonts w:cs="Helv"/>
                <w:color w:val="000000"/>
              </w:rPr>
              <w:t xml:space="preserve">  Vendors should refer to the </w:t>
            </w:r>
            <w:hyperlink r:id="rId11" w:history="1">
              <w:r w:rsidR="004B5962" w:rsidRPr="008B35EC">
                <w:rPr>
                  <w:rStyle w:val="Hyperlink"/>
                  <w:rFonts w:cs="Helv"/>
                </w:rPr>
                <w:t>Office of the State Comptroller’s website</w:t>
              </w:r>
            </w:hyperlink>
            <w:r w:rsidR="004B5962" w:rsidRPr="008B35EC">
              <w:rPr>
                <w:rFonts w:cs="Helv"/>
                <w:color w:val="000000"/>
              </w:rPr>
              <w:t xml:space="preserve"> for more</w:t>
            </w:r>
            <w:r w:rsidR="0007317C" w:rsidRPr="008B35EC">
              <w:rPr>
                <w:rFonts w:cs="Helv"/>
                <w:color w:val="000000"/>
              </w:rPr>
              <w:t xml:space="preserve"> details</w:t>
            </w:r>
            <w:r w:rsidR="00393C7D" w:rsidRPr="008B35EC">
              <w:rPr>
                <w:rFonts w:cs="Helv"/>
                <w:color w:val="000000"/>
              </w:rPr>
              <w:t xml:space="preserve"> on updating vendor</w:t>
            </w:r>
            <w:r w:rsidR="004B5962" w:rsidRPr="008B35EC">
              <w:rPr>
                <w:rFonts w:cs="Helv"/>
                <w:color w:val="000000"/>
              </w:rPr>
              <w:t xml:space="preserve"> information.</w:t>
            </w:r>
          </w:p>
          <w:p w14:paraId="6C6AA7F4" w14:textId="77777777" w:rsidR="00CA04F0" w:rsidRPr="008B35EC" w:rsidRDefault="00CA04F0" w:rsidP="00CA04F0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cs="Helv"/>
                <w:color w:val="000000"/>
              </w:rPr>
            </w:pPr>
          </w:p>
          <w:p w14:paraId="52BA2C68" w14:textId="77777777" w:rsidR="00CA04F0" w:rsidRPr="008B35EC" w:rsidRDefault="00CA04F0" w:rsidP="00B83A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</w:rPr>
            </w:pPr>
            <w:r w:rsidRPr="009A4205">
              <w:lastRenderedPageBreak/>
              <w:t>Document material exceptions and review with management.</w:t>
            </w:r>
          </w:p>
        </w:tc>
        <w:tc>
          <w:tcPr>
            <w:tcW w:w="3960" w:type="dxa"/>
          </w:tcPr>
          <w:p w14:paraId="4B4679DB" w14:textId="77777777" w:rsidR="00AA15A7" w:rsidRPr="009A4205" w:rsidRDefault="00AA15A7" w:rsidP="00075FCD">
            <w:pPr>
              <w:spacing w:after="0" w:line="240" w:lineRule="auto"/>
            </w:pPr>
          </w:p>
        </w:tc>
      </w:tr>
    </w:tbl>
    <w:p w14:paraId="2C7706F1" w14:textId="77777777" w:rsidR="00FD65F4" w:rsidRDefault="00FD65F4"/>
    <w:sectPr w:rsidR="00FD65F4" w:rsidSect="005A78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DF3A" w14:textId="77777777" w:rsidR="002C2277" w:rsidRDefault="002C2277" w:rsidP="00FC2108">
      <w:pPr>
        <w:spacing w:after="0" w:line="240" w:lineRule="auto"/>
      </w:pPr>
      <w:r>
        <w:separator/>
      </w:r>
    </w:p>
  </w:endnote>
  <w:endnote w:type="continuationSeparator" w:id="0">
    <w:p w14:paraId="399270A2" w14:textId="77777777" w:rsidR="002C2277" w:rsidRDefault="002C2277" w:rsidP="00FC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821B" w14:textId="77777777" w:rsidR="00FC2108" w:rsidRDefault="00FC2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173C" w14:textId="77777777" w:rsidR="00FC2108" w:rsidRDefault="00FC21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D61">
      <w:rPr>
        <w:noProof/>
      </w:rPr>
      <w:t>4</w:t>
    </w:r>
    <w:r>
      <w:rPr>
        <w:noProof/>
      </w:rPr>
      <w:fldChar w:fldCharType="end"/>
    </w:r>
  </w:p>
  <w:p w14:paraId="2B311711" w14:textId="77777777" w:rsidR="00FC2108" w:rsidRDefault="00FC2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D85E" w14:textId="77777777" w:rsidR="00FC2108" w:rsidRDefault="00FC2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143B" w14:textId="77777777" w:rsidR="002C2277" w:rsidRDefault="002C2277" w:rsidP="00FC2108">
      <w:pPr>
        <w:spacing w:after="0" w:line="240" w:lineRule="auto"/>
      </w:pPr>
      <w:r>
        <w:separator/>
      </w:r>
    </w:p>
  </w:footnote>
  <w:footnote w:type="continuationSeparator" w:id="0">
    <w:p w14:paraId="058E0382" w14:textId="77777777" w:rsidR="002C2277" w:rsidRDefault="002C2277" w:rsidP="00FC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EF37" w14:textId="77777777" w:rsidR="00FC2108" w:rsidRDefault="00FC2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0BB4" w14:textId="77777777" w:rsidR="00FC2108" w:rsidRDefault="00FC2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B863" w14:textId="77777777" w:rsidR="00FC2108" w:rsidRDefault="00FC2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A2E01C"/>
    <w:lvl w:ilvl="0">
      <w:numFmt w:val="bullet"/>
      <w:lvlText w:val="*"/>
      <w:lvlJc w:val="left"/>
    </w:lvl>
  </w:abstractNum>
  <w:abstractNum w:abstractNumId="1" w15:restartNumberingAfterBreak="0">
    <w:nsid w:val="04485B4A"/>
    <w:multiLevelType w:val="hybridMultilevel"/>
    <w:tmpl w:val="FEEC3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E44"/>
    <w:multiLevelType w:val="hybridMultilevel"/>
    <w:tmpl w:val="A28664C2"/>
    <w:lvl w:ilvl="0" w:tplc="5E925A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056"/>
    <w:multiLevelType w:val="hybridMultilevel"/>
    <w:tmpl w:val="5BE03AF8"/>
    <w:lvl w:ilvl="0" w:tplc="F4CA9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92A6AC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955E5"/>
    <w:multiLevelType w:val="hybridMultilevel"/>
    <w:tmpl w:val="46EA1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1351"/>
    <w:multiLevelType w:val="hybridMultilevel"/>
    <w:tmpl w:val="7CE83F4E"/>
    <w:lvl w:ilvl="0" w:tplc="7D34D08E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DDE077BA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3372"/>
    <w:multiLevelType w:val="hybridMultilevel"/>
    <w:tmpl w:val="AD6E0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F085F"/>
    <w:multiLevelType w:val="hybridMultilevel"/>
    <w:tmpl w:val="F38ABAEC"/>
    <w:lvl w:ilvl="0" w:tplc="E330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371B4"/>
    <w:multiLevelType w:val="hybridMultilevel"/>
    <w:tmpl w:val="61068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BBE95B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92179"/>
    <w:multiLevelType w:val="hybridMultilevel"/>
    <w:tmpl w:val="9B023E30"/>
    <w:lvl w:ilvl="0" w:tplc="AC9EA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" w15:restartNumberingAfterBreak="0">
    <w:nsid w:val="3320096A"/>
    <w:multiLevelType w:val="hybridMultilevel"/>
    <w:tmpl w:val="A9328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4BB1"/>
    <w:multiLevelType w:val="hybridMultilevel"/>
    <w:tmpl w:val="F38ABAEC"/>
    <w:lvl w:ilvl="0" w:tplc="E330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F734B"/>
    <w:multiLevelType w:val="hybridMultilevel"/>
    <w:tmpl w:val="AA448E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F122D"/>
    <w:multiLevelType w:val="hybridMultilevel"/>
    <w:tmpl w:val="AC20B3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A0B8C"/>
    <w:multiLevelType w:val="hybridMultilevel"/>
    <w:tmpl w:val="D9F4F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2D6E0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70F8D"/>
    <w:multiLevelType w:val="hybridMultilevel"/>
    <w:tmpl w:val="8238079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1E18D02E">
      <w:start w:val="1"/>
      <w:numFmt w:val="decimal"/>
      <w:lvlText w:val="%4."/>
      <w:lvlJc w:val="left"/>
      <w:pPr>
        <w:ind w:left="31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01C55B4"/>
    <w:multiLevelType w:val="hybridMultilevel"/>
    <w:tmpl w:val="FC88873A"/>
    <w:lvl w:ilvl="0" w:tplc="D7C06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55B44"/>
    <w:multiLevelType w:val="hybridMultilevel"/>
    <w:tmpl w:val="FAF2AE96"/>
    <w:lvl w:ilvl="0" w:tplc="1D00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36CF7"/>
    <w:multiLevelType w:val="hybridMultilevel"/>
    <w:tmpl w:val="1D500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B2A73"/>
    <w:multiLevelType w:val="hybridMultilevel"/>
    <w:tmpl w:val="26421D76"/>
    <w:lvl w:ilvl="0" w:tplc="C032AE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12673"/>
    <w:multiLevelType w:val="hybridMultilevel"/>
    <w:tmpl w:val="F38ABAEC"/>
    <w:lvl w:ilvl="0" w:tplc="E330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17"/>
  </w:num>
  <w:num w:numId="8">
    <w:abstractNumId w:val="3"/>
  </w:num>
  <w:num w:numId="9">
    <w:abstractNumId w:val="19"/>
  </w:num>
  <w:num w:numId="10">
    <w:abstractNumId w:val="10"/>
  </w:num>
  <w:num w:numId="11">
    <w:abstractNumId w:val="7"/>
  </w:num>
  <w:num w:numId="12">
    <w:abstractNumId w:val="2"/>
  </w:num>
  <w:num w:numId="13">
    <w:abstractNumId w:val="20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6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0C"/>
    <w:rsid w:val="00010AA5"/>
    <w:rsid w:val="00016525"/>
    <w:rsid w:val="0002652F"/>
    <w:rsid w:val="0003328B"/>
    <w:rsid w:val="00057710"/>
    <w:rsid w:val="00072A4F"/>
    <w:rsid w:val="0007317C"/>
    <w:rsid w:val="00075FCD"/>
    <w:rsid w:val="00085A8F"/>
    <w:rsid w:val="00090BFA"/>
    <w:rsid w:val="000A6C8C"/>
    <w:rsid w:val="000C0500"/>
    <w:rsid w:val="000E13C0"/>
    <w:rsid w:val="000E37D6"/>
    <w:rsid w:val="00113BDA"/>
    <w:rsid w:val="0013342B"/>
    <w:rsid w:val="00144EA5"/>
    <w:rsid w:val="00145046"/>
    <w:rsid w:val="001475E5"/>
    <w:rsid w:val="00155CDF"/>
    <w:rsid w:val="00192149"/>
    <w:rsid w:val="001B0C69"/>
    <w:rsid w:val="001C3DAA"/>
    <w:rsid w:val="001C5385"/>
    <w:rsid w:val="001D0B72"/>
    <w:rsid w:val="001D160C"/>
    <w:rsid w:val="001D628E"/>
    <w:rsid w:val="001E626D"/>
    <w:rsid w:val="001F36FB"/>
    <w:rsid w:val="00200F6E"/>
    <w:rsid w:val="0020648B"/>
    <w:rsid w:val="00213279"/>
    <w:rsid w:val="002335A5"/>
    <w:rsid w:val="0024556C"/>
    <w:rsid w:val="00251C57"/>
    <w:rsid w:val="002536C4"/>
    <w:rsid w:val="00275769"/>
    <w:rsid w:val="00287B58"/>
    <w:rsid w:val="00297625"/>
    <w:rsid w:val="002A2556"/>
    <w:rsid w:val="002A2971"/>
    <w:rsid w:val="002C2277"/>
    <w:rsid w:val="002C5B80"/>
    <w:rsid w:val="002D227C"/>
    <w:rsid w:val="002F431B"/>
    <w:rsid w:val="003079E8"/>
    <w:rsid w:val="0031001A"/>
    <w:rsid w:val="00311BF4"/>
    <w:rsid w:val="00320D08"/>
    <w:rsid w:val="00350C72"/>
    <w:rsid w:val="003558E7"/>
    <w:rsid w:val="00357746"/>
    <w:rsid w:val="003704E7"/>
    <w:rsid w:val="00385AB7"/>
    <w:rsid w:val="00391C70"/>
    <w:rsid w:val="00393C7D"/>
    <w:rsid w:val="003E4C12"/>
    <w:rsid w:val="003F156C"/>
    <w:rsid w:val="00404F5F"/>
    <w:rsid w:val="004059FB"/>
    <w:rsid w:val="00443F05"/>
    <w:rsid w:val="004457A8"/>
    <w:rsid w:val="004513F6"/>
    <w:rsid w:val="00455ED1"/>
    <w:rsid w:val="00456D0D"/>
    <w:rsid w:val="00464CB6"/>
    <w:rsid w:val="004A58D1"/>
    <w:rsid w:val="004A6B0C"/>
    <w:rsid w:val="004B20D6"/>
    <w:rsid w:val="004B5962"/>
    <w:rsid w:val="004C0F60"/>
    <w:rsid w:val="004D57E8"/>
    <w:rsid w:val="004E2E26"/>
    <w:rsid w:val="004F346C"/>
    <w:rsid w:val="00510F39"/>
    <w:rsid w:val="00513D6E"/>
    <w:rsid w:val="00516FD0"/>
    <w:rsid w:val="00521AEB"/>
    <w:rsid w:val="0053041B"/>
    <w:rsid w:val="00530993"/>
    <w:rsid w:val="00540FCD"/>
    <w:rsid w:val="00550E7B"/>
    <w:rsid w:val="00562195"/>
    <w:rsid w:val="00567B77"/>
    <w:rsid w:val="00571E38"/>
    <w:rsid w:val="005815B1"/>
    <w:rsid w:val="00581952"/>
    <w:rsid w:val="00585022"/>
    <w:rsid w:val="005A780C"/>
    <w:rsid w:val="005B469E"/>
    <w:rsid w:val="005B576E"/>
    <w:rsid w:val="005C0CC6"/>
    <w:rsid w:val="005C37B5"/>
    <w:rsid w:val="006014DB"/>
    <w:rsid w:val="00607812"/>
    <w:rsid w:val="006130D3"/>
    <w:rsid w:val="00615EEA"/>
    <w:rsid w:val="00652EF5"/>
    <w:rsid w:val="0065627A"/>
    <w:rsid w:val="006646D5"/>
    <w:rsid w:val="00665344"/>
    <w:rsid w:val="006A73AC"/>
    <w:rsid w:val="006C6BCA"/>
    <w:rsid w:val="006D0A83"/>
    <w:rsid w:val="006D0C16"/>
    <w:rsid w:val="006F070C"/>
    <w:rsid w:val="006F092A"/>
    <w:rsid w:val="006F7331"/>
    <w:rsid w:val="0072573F"/>
    <w:rsid w:val="00731C8D"/>
    <w:rsid w:val="00761969"/>
    <w:rsid w:val="00762D08"/>
    <w:rsid w:val="00763CB6"/>
    <w:rsid w:val="00787DA8"/>
    <w:rsid w:val="007A6568"/>
    <w:rsid w:val="007B6814"/>
    <w:rsid w:val="007D318B"/>
    <w:rsid w:val="007D4772"/>
    <w:rsid w:val="007F0817"/>
    <w:rsid w:val="007F0D3F"/>
    <w:rsid w:val="007F5474"/>
    <w:rsid w:val="008004B7"/>
    <w:rsid w:val="00801BFA"/>
    <w:rsid w:val="00805520"/>
    <w:rsid w:val="00813BD4"/>
    <w:rsid w:val="00814FE5"/>
    <w:rsid w:val="00820A9D"/>
    <w:rsid w:val="00822C53"/>
    <w:rsid w:val="00824595"/>
    <w:rsid w:val="008304FD"/>
    <w:rsid w:val="00852394"/>
    <w:rsid w:val="00886B6B"/>
    <w:rsid w:val="008922EB"/>
    <w:rsid w:val="00897FE8"/>
    <w:rsid w:val="008B35EC"/>
    <w:rsid w:val="008C2C09"/>
    <w:rsid w:val="008E0167"/>
    <w:rsid w:val="008E38FF"/>
    <w:rsid w:val="008F3D19"/>
    <w:rsid w:val="009256D7"/>
    <w:rsid w:val="00975018"/>
    <w:rsid w:val="00983621"/>
    <w:rsid w:val="00985519"/>
    <w:rsid w:val="009A0C43"/>
    <w:rsid w:val="009B78D9"/>
    <w:rsid w:val="009C2384"/>
    <w:rsid w:val="009E26A3"/>
    <w:rsid w:val="00A344E5"/>
    <w:rsid w:val="00A52D61"/>
    <w:rsid w:val="00A77511"/>
    <w:rsid w:val="00A80D34"/>
    <w:rsid w:val="00A8165C"/>
    <w:rsid w:val="00A84FD5"/>
    <w:rsid w:val="00A913F7"/>
    <w:rsid w:val="00A9172A"/>
    <w:rsid w:val="00A96BD2"/>
    <w:rsid w:val="00AA15A7"/>
    <w:rsid w:val="00AC12DA"/>
    <w:rsid w:val="00AC2BAB"/>
    <w:rsid w:val="00AE4F09"/>
    <w:rsid w:val="00B02F7F"/>
    <w:rsid w:val="00B10585"/>
    <w:rsid w:val="00B10E72"/>
    <w:rsid w:val="00B22BBF"/>
    <w:rsid w:val="00B25F46"/>
    <w:rsid w:val="00B349FB"/>
    <w:rsid w:val="00B54370"/>
    <w:rsid w:val="00B63BE8"/>
    <w:rsid w:val="00B83AEE"/>
    <w:rsid w:val="00B9065B"/>
    <w:rsid w:val="00B90B39"/>
    <w:rsid w:val="00B941BA"/>
    <w:rsid w:val="00BA7195"/>
    <w:rsid w:val="00BD4CAB"/>
    <w:rsid w:val="00BE7562"/>
    <w:rsid w:val="00BF55FF"/>
    <w:rsid w:val="00C0025F"/>
    <w:rsid w:val="00C178DE"/>
    <w:rsid w:val="00C50382"/>
    <w:rsid w:val="00C616F1"/>
    <w:rsid w:val="00C66614"/>
    <w:rsid w:val="00C8304B"/>
    <w:rsid w:val="00C87A20"/>
    <w:rsid w:val="00C94A87"/>
    <w:rsid w:val="00CA04F0"/>
    <w:rsid w:val="00CA33F0"/>
    <w:rsid w:val="00CC64C9"/>
    <w:rsid w:val="00CC74A8"/>
    <w:rsid w:val="00CD2108"/>
    <w:rsid w:val="00CF20DD"/>
    <w:rsid w:val="00D06A32"/>
    <w:rsid w:val="00D15BF9"/>
    <w:rsid w:val="00D16A2B"/>
    <w:rsid w:val="00D24718"/>
    <w:rsid w:val="00D55BA7"/>
    <w:rsid w:val="00D6416F"/>
    <w:rsid w:val="00D66CEF"/>
    <w:rsid w:val="00D70BD8"/>
    <w:rsid w:val="00D77380"/>
    <w:rsid w:val="00D9001D"/>
    <w:rsid w:val="00D94CDC"/>
    <w:rsid w:val="00DA33CC"/>
    <w:rsid w:val="00DB296A"/>
    <w:rsid w:val="00DB41D5"/>
    <w:rsid w:val="00DD4981"/>
    <w:rsid w:val="00DE10D5"/>
    <w:rsid w:val="00DE12DA"/>
    <w:rsid w:val="00DE1772"/>
    <w:rsid w:val="00DF1AA9"/>
    <w:rsid w:val="00DF71DD"/>
    <w:rsid w:val="00E11902"/>
    <w:rsid w:val="00E249CB"/>
    <w:rsid w:val="00E312FF"/>
    <w:rsid w:val="00E548F5"/>
    <w:rsid w:val="00E55265"/>
    <w:rsid w:val="00E715C7"/>
    <w:rsid w:val="00E72906"/>
    <w:rsid w:val="00E84D9D"/>
    <w:rsid w:val="00E84FB6"/>
    <w:rsid w:val="00E85D8C"/>
    <w:rsid w:val="00E85D9E"/>
    <w:rsid w:val="00E967EA"/>
    <w:rsid w:val="00EA3B33"/>
    <w:rsid w:val="00EA794D"/>
    <w:rsid w:val="00EB04A4"/>
    <w:rsid w:val="00EB789B"/>
    <w:rsid w:val="00EC0B0B"/>
    <w:rsid w:val="00ED2A09"/>
    <w:rsid w:val="00ED498E"/>
    <w:rsid w:val="00EE41E2"/>
    <w:rsid w:val="00EE4BCC"/>
    <w:rsid w:val="00EF3D5D"/>
    <w:rsid w:val="00F01699"/>
    <w:rsid w:val="00F14FA4"/>
    <w:rsid w:val="00F161FF"/>
    <w:rsid w:val="00F176F2"/>
    <w:rsid w:val="00F342C5"/>
    <w:rsid w:val="00F76D13"/>
    <w:rsid w:val="00F9162F"/>
    <w:rsid w:val="00F96ACF"/>
    <w:rsid w:val="00F975FD"/>
    <w:rsid w:val="00FA37B6"/>
    <w:rsid w:val="00FB7538"/>
    <w:rsid w:val="00FC2108"/>
    <w:rsid w:val="00FC3B0D"/>
    <w:rsid w:val="00FD65F4"/>
    <w:rsid w:val="00FE2B3F"/>
    <w:rsid w:val="00FE555D"/>
    <w:rsid w:val="00FF011D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4FE4"/>
  <w15:chartTrackingRefBased/>
  <w15:docId w15:val="{060AD7C5-67D8-4E43-88F4-65B63A8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A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52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23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3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39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39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01BF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B5962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C21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C21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pro.ogs.ny.gov/content/procurement-services-contract-porta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c.state.ny.us/vendor_management/form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supplier.sfs.ny.gov/psp/fscm/SUPPLIER/?&amp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c.state.ny.us/agencies/guide/MyWebHelp/Content/XII/5/D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B071-7BD0-44BF-BA41-CEF6ABD7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4478</CharactersWithSpaces>
  <SharedDoc>false</SharedDoc>
  <HLinks>
    <vt:vector size="24" baseType="variant">
      <vt:variant>
        <vt:i4>8061019</vt:i4>
      </vt:variant>
      <vt:variant>
        <vt:i4>12</vt:i4>
      </vt:variant>
      <vt:variant>
        <vt:i4>0</vt:i4>
      </vt:variant>
      <vt:variant>
        <vt:i4>5</vt:i4>
      </vt:variant>
      <vt:variant>
        <vt:lpwstr>https://www.osc.state.ny.us/vendor_management/forms.htm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https://esupplier.sfs.ny.gov/psp/fscm/SUPPLIER/?&amp;</vt:lpwstr>
      </vt:variant>
      <vt:variant>
        <vt:lpwstr/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http://www.osc.state.ny.us/agencies/guide/MyWebHelp/Content/XII/5/D.htm</vt:lpwstr>
      </vt:variant>
      <vt:variant>
        <vt:lpwstr/>
      </vt:variant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https://nyspro.ogs.ny.gov/content/procurement-services-contract-portal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E. Carey</dc:creator>
  <cp:keywords/>
  <dc:description/>
  <cp:lastModifiedBy>Seth J Carr</cp:lastModifiedBy>
  <cp:revision>2</cp:revision>
  <cp:lastPrinted>2019-12-03T15:31:00Z</cp:lastPrinted>
  <dcterms:created xsi:type="dcterms:W3CDTF">2022-08-16T16:52:00Z</dcterms:created>
  <dcterms:modified xsi:type="dcterms:W3CDTF">2022-08-16T16:52:00Z</dcterms:modified>
</cp:coreProperties>
</file>